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A5C45" w14:textId="12629078" w:rsidR="000A3472" w:rsidRPr="00F647F4" w:rsidRDefault="000A3472" w:rsidP="009525CA">
      <w:pPr>
        <w:jc w:val="both"/>
        <w:rPr>
          <w:sz w:val="21"/>
          <w:szCs w:val="21"/>
        </w:rPr>
      </w:pPr>
      <w:bookmarkStart w:id="0" w:name="_GoBack"/>
      <w:bookmarkEnd w:id="0"/>
    </w:p>
    <w:p w14:paraId="12415144" w14:textId="6ED7645C" w:rsidR="000A3472" w:rsidRDefault="000A3472" w:rsidP="009525CA">
      <w:pPr>
        <w:jc w:val="both"/>
      </w:pPr>
    </w:p>
    <w:p w14:paraId="58320246" w14:textId="118E2427" w:rsidR="000A3472" w:rsidRDefault="000A3472" w:rsidP="009525CA">
      <w:pPr>
        <w:jc w:val="both"/>
      </w:pPr>
    </w:p>
    <w:p w14:paraId="34DA1BC4" w14:textId="77777777" w:rsidR="000A3472" w:rsidRDefault="000A3472" w:rsidP="000A3472">
      <w:pPr>
        <w:pStyle w:val="Pavadinimas"/>
        <w:spacing w:before="0"/>
      </w:pPr>
      <w:bookmarkStart w:id="1" w:name="_Hlk71530402"/>
      <w:bookmarkEnd w:id="1"/>
      <w:r>
        <w:rPr>
          <w:noProof/>
          <w:lang w:eastAsia="lt-LT"/>
        </w:rPr>
        <w:drawing>
          <wp:anchor distT="0" distB="0" distL="114300" distR="114300" simplePos="0" relativeHeight="251659264" behindDoc="0" locked="0" layoutInCell="0" allowOverlap="1" wp14:anchorId="4CCEAA64" wp14:editId="2F6B8C68">
            <wp:simplePos x="0" y="0"/>
            <wp:positionH relativeFrom="page">
              <wp:posOffset>3776980</wp:posOffset>
            </wp:positionH>
            <wp:positionV relativeFrom="page">
              <wp:posOffset>720090</wp:posOffset>
            </wp:positionV>
            <wp:extent cx="543560" cy="595630"/>
            <wp:effectExtent l="0" t="0" r="8890" b="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anchor>
        </w:drawing>
      </w:r>
      <w:r>
        <w:t>VA</w:t>
      </w:r>
      <w:r w:rsidRPr="007B540D">
        <w:t xml:space="preserve">lstybinė energetikos </w:t>
      </w:r>
      <w:r>
        <w:t>reguliavimo taryba</w:t>
      </w:r>
    </w:p>
    <w:p w14:paraId="2E67EDD2" w14:textId="77777777" w:rsidR="000A3472" w:rsidRPr="00DF5DFE" w:rsidRDefault="000A3472" w:rsidP="000A3472">
      <w:pPr>
        <w:pStyle w:val="Pavadinimas"/>
        <w:spacing w:before="0"/>
        <w:rPr>
          <w:sz w:val="16"/>
          <w:szCs w:val="16"/>
        </w:rPr>
      </w:pPr>
    </w:p>
    <w:p w14:paraId="641B4CEE" w14:textId="77777777" w:rsidR="000A3472" w:rsidRPr="00922CAD" w:rsidRDefault="000A3472" w:rsidP="000A3472">
      <w:pPr>
        <w:pBdr>
          <w:bottom w:val="single" w:sz="4" w:space="1" w:color="auto"/>
        </w:pBdr>
        <w:jc w:val="center"/>
        <w:rPr>
          <w:b/>
          <w:sz w:val="18"/>
        </w:rPr>
      </w:pPr>
      <w:r>
        <w:rPr>
          <w:sz w:val="18"/>
        </w:rPr>
        <w:t>Biudžetinė įstaiga</w:t>
      </w:r>
      <w:r>
        <w:rPr>
          <w:color w:val="000000"/>
          <w:sz w:val="18"/>
        </w:rPr>
        <w:t xml:space="preserve">, </w:t>
      </w:r>
      <w:r w:rsidRPr="0046472E">
        <w:rPr>
          <w:color w:val="000000"/>
          <w:sz w:val="18"/>
        </w:rPr>
        <w:t>Verkių g. 25C</w:t>
      </w:r>
      <w:r>
        <w:rPr>
          <w:color w:val="000000"/>
          <w:sz w:val="18"/>
        </w:rPr>
        <w:t>-1</w:t>
      </w:r>
      <w:r w:rsidRPr="0046472E">
        <w:rPr>
          <w:color w:val="000000"/>
          <w:sz w:val="18"/>
        </w:rPr>
        <w:t>, LT</w:t>
      </w:r>
      <w:r>
        <w:rPr>
          <w:color w:val="000000"/>
          <w:sz w:val="18"/>
        </w:rPr>
        <w:t>-</w:t>
      </w:r>
      <w:r w:rsidRPr="0046472E">
        <w:rPr>
          <w:color w:val="000000"/>
          <w:sz w:val="18"/>
        </w:rPr>
        <w:t>08223 Vilnius</w:t>
      </w:r>
      <w:r>
        <w:rPr>
          <w:color w:val="000000"/>
          <w:sz w:val="18"/>
        </w:rPr>
        <w:t>, tel. (8 5) 213 5166, faks. (8 5) 213 5270, el. p</w:t>
      </w:r>
      <w:r w:rsidRPr="00480924">
        <w:rPr>
          <w:sz w:val="18"/>
        </w:rPr>
        <w:t xml:space="preserve">. </w:t>
      </w:r>
      <w:proofErr w:type="spellStart"/>
      <w:r w:rsidRPr="00300FCE">
        <w:rPr>
          <w:color w:val="000000"/>
          <w:sz w:val="18"/>
        </w:rPr>
        <w:t>info@vert.lt</w:t>
      </w:r>
      <w:proofErr w:type="spellEnd"/>
      <w:r w:rsidRPr="00922CAD">
        <w:rPr>
          <w:sz w:val="18"/>
        </w:rPr>
        <w:t>.</w:t>
      </w:r>
    </w:p>
    <w:p w14:paraId="066336C8" w14:textId="77777777" w:rsidR="000A3472" w:rsidRDefault="000A3472" w:rsidP="000A3472">
      <w:pPr>
        <w:pBdr>
          <w:bottom w:val="single" w:sz="4" w:space="1" w:color="auto"/>
        </w:pBdr>
        <w:jc w:val="center"/>
        <w:rPr>
          <w:b/>
          <w:caps/>
          <w:color w:val="000000"/>
        </w:rPr>
      </w:pPr>
      <w:r>
        <w:rPr>
          <w:color w:val="000000"/>
          <w:sz w:val="18"/>
        </w:rPr>
        <w:t>Duomenys kaupiami ir saugomi Juridinių asmenų registre, kodas 188706554</w:t>
      </w:r>
    </w:p>
    <w:p w14:paraId="273954D9" w14:textId="77777777" w:rsidR="000A3472" w:rsidRDefault="000A3472" w:rsidP="000A3472">
      <w:pPr>
        <w:rPr>
          <w:caps/>
          <w:color w:val="000000"/>
        </w:rPr>
      </w:pPr>
    </w:p>
    <w:tbl>
      <w:tblPr>
        <w:tblW w:w="9647" w:type="dxa"/>
        <w:tblInd w:w="6" w:type="dxa"/>
        <w:tblLayout w:type="fixed"/>
        <w:tblCellMar>
          <w:left w:w="14" w:type="dxa"/>
          <w:right w:w="14" w:type="dxa"/>
        </w:tblCellMar>
        <w:tblLook w:val="0000" w:firstRow="0" w:lastRow="0" w:firstColumn="0" w:lastColumn="0" w:noHBand="0" w:noVBand="0"/>
      </w:tblPr>
      <w:tblGrid>
        <w:gridCol w:w="4643"/>
        <w:gridCol w:w="454"/>
        <w:gridCol w:w="1532"/>
        <w:gridCol w:w="3018"/>
      </w:tblGrid>
      <w:tr w:rsidR="000A3472" w14:paraId="723D3417" w14:textId="77777777" w:rsidTr="00152E14">
        <w:trPr>
          <w:cantSplit/>
        </w:trPr>
        <w:tc>
          <w:tcPr>
            <w:tcW w:w="4643" w:type="dxa"/>
            <w:vMerge w:val="restart"/>
          </w:tcPr>
          <w:tbl>
            <w:tblPr>
              <w:tblpPr w:leftFromText="180" w:rightFromText="180" w:vertAnchor="text" w:tblpY="1"/>
              <w:tblOverlap w:val="never"/>
              <w:tblW w:w="11210" w:type="dxa"/>
              <w:tblLayout w:type="fixed"/>
              <w:tblCellMar>
                <w:left w:w="14" w:type="dxa"/>
                <w:right w:w="14" w:type="dxa"/>
              </w:tblCellMar>
              <w:tblLook w:val="0000" w:firstRow="0" w:lastRow="0" w:firstColumn="0" w:lastColumn="0" w:noHBand="0" w:noVBand="0"/>
            </w:tblPr>
            <w:tblGrid>
              <w:gridCol w:w="11210"/>
            </w:tblGrid>
            <w:tr w:rsidR="000A3472" w:rsidRPr="00D70A22" w14:paraId="003E01F0" w14:textId="77777777" w:rsidTr="00152E14">
              <w:trPr>
                <w:cantSplit/>
              </w:trPr>
              <w:tc>
                <w:tcPr>
                  <w:tcW w:w="5170" w:type="dxa"/>
                </w:tcPr>
                <w:p w14:paraId="5D78D987" w14:textId="77777777" w:rsidR="000A3472" w:rsidRPr="00D70A22" w:rsidRDefault="000A3472" w:rsidP="00152E14">
                  <w:pPr>
                    <w:spacing w:line="360" w:lineRule="auto"/>
                    <w:rPr>
                      <w:b/>
                      <w:color w:val="00000A"/>
                    </w:rPr>
                  </w:pPr>
                  <w:r>
                    <w:rPr>
                      <w:color w:val="00000A"/>
                    </w:rPr>
                    <w:t xml:space="preserve">Prienų </w:t>
                  </w:r>
                  <w:r>
                    <w:rPr>
                      <w:color w:val="000000"/>
                    </w:rPr>
                    <w:t xml:space="preserve">rajono </w:t>
                  </w:r>
                  <w:r w:rsidRPr="002271F0">
                    <w:rPr>
                      <w:color w:val="000000"/>
                    </w:rPr>
                    <w:t>savivaldyb</w:t>
                  </w:r>
                  <w:r>
                    <w:rPr>
                      <w:color w:val="000000"/>
                    </w:rPr>
                    <w:t>ės administracijai</w:t>
                  </w:r>
                </w:p>
              </w:tc>
            </w:tr>
          </w:tbl>
          <w:p w14:paraId="65DD0B42" w14:textId="77777777" w:rsidR="000A3472" w:rsidRPr="002C2F95" w:rsidRDefault="000A3472" w:rsidP="00152E14">
            <w:pPr>
              <w:rPr>
                <w:caps/>
                <w:color w:val="000000"/>
              </w:rPr>
            </w:pPr>
          </w:p>
          <w:tbl>
            <w:tblPr>
              <w:tblpPr w:leftFromText="180" w:rightFromText="180" w:vertAnchor="text" w:tblpY="1"/>
              <w:tblOverlap w:val="never"/>
              <w:tblW w:w="11210" w:type="dxa"/>
              <w:tblLayout w:type="fixed"/>
              <w:tblCellMar>
                <w:left w:w="14" w:type="dxa"/>
                <w:right w:w="14" w:type="dxa"/>
              </w:tblCellMar>
              <w:tblLook w:val="0000" w:firstRow="0" w:lastRow="0" w:firstColumn="0" w:lastColumn="0" w:noHBand="0" w:noVBand="0"/>
            </w:tblPr>
            <w:tblGrid>
              <w:gridCol w:w="5170"/>
              <w:gridCol w:w="476"/>
              <w:gridCol w:w="476"/>
              <w:gridCol w:w="1736"/>
              <w:gridCol w:w="3352"/>
            </w:tblGrid>
            <w:tr w:rsidR="000A3472" w:rsidRPr="002C2F95" w14:paraId="65FF7D32" w14:textId="77777777" w:rsidTr="00152E14">
              <w:trPr>
                <w:cantSplit/>
              </w:trPr>
              <w:tc>
                <w:tcPr>
                  <w:tcW w:w="5170" w:type="dxa"/>
                </w:tcPr>
                <w:p w14:paraId="6C05D039" w14:textId="77777777" w:rsidR="000A3472" w:rsidRDefault="000A3472" w:rsidP="00152E14">
                  <w:pPr>
                    <w:spacing w:line="276" w:lineRule="auto"/>
                    <w:rPr>
                      <w:b/>
                      <w:color w:val="000000"/>
                    </w:rPr>
                  </w:pPr>
                  <w:r>
                    <w:rPr>
                      <w:color w:val="000000"/>
                    </w:rPr>
                    <w:t>Kopija</w:t>
                  </w:r>
                </w:p>
                <w:p w14:paraId="3611FC7D" w14:textId="77777777" w:rsidR="000A3472" w:rsidRDefault="000A3472" w:rsidP="00152E14">
                  <w:pPr>
                    <w:spacing w:line="276" w:lineRule="auto"/>
                    <w:rPr>
                      <w:b/>
                      <w:color w:val="000000"/>
                    </w:rPr>
                  </w:pPr>
                  <w:r>
                    <w:rPr>
                      <w:color w:val="000000"/>
                    </w:rPr>
                    <w:t>UAB „Trakų energija“</w:t>
                  </w:r>
                </w:p>
                <w:p w14:paraId="6B1022E5" w14:textId="77777777" w:rsidR="000A3472" w:rsidRPr="00D70A22" w:rsidRDefault="000A3472" w:rsidP="00152E14">
                  <w:pPr>
                    <w:spacing w:line="360" w:lineRule="auto"/>
                    <w:rPr>
                      <w:b/>
                      <w:color w:val="00000A"/>
                    </w:rPr>
                  </w:pPr>
                </w:p>
              </w:tc>
              <w:tc>
                <w:tcPr>
                  <w:tcW w:w="476" w:type="dxa"/>
                </w:tcPr>
                <w:p w14:paraId="6517A313" w14:textId="77777777" w:rsidR="000A3472" w:rsidRPr="005A25A5" w:rsidRDefault="000A3472" w:rsidP="00152E14">
                  <w:pPr>
                    <w:rPr>
                      <w:b/>
                      <w:bCs/>
                      <w:color w:val="000000"/>
                    </w:rPr>
                  </w:pPr>
                </w:p>
              </w:tc>
              <w:tc>
                <w:tcPr>
                  <w:tcW w:w="476" w:type="dxa"/>
                </w:tcPr>
                <w:p w14:paraId="56D801B8" w14:textId="77777777" w:rsidR="000A3472" w:rsidRPr="005A25A5" w:rsidRDefault="000A3472" w:rsidP="00152E14">
                  <w:pPr>
                    <w:rPr>
                      <w:b/>
                      <w:bCs/>
                      <w:color w:val="000000"/>
                    </w:rPr>
                  </w:pPr>
                </w:p>
              </w:tc>
              <w:tc>
                <w:tcPr>
                  <w:tcW w:w="1736" w:type="dxa"/>
                </w:tcPr>
                <w:p w14:paraId="37C6C650" w14:textId="77777777" w:rsidR="000A3472" w:rsidRPr="002C2F95" w:rsidRDefault="000A3472" w:rsidP="00152E14">
                  <w:pPr>
                    <w:rPr>
                      <w:b/>
                      <w:color w:val="000000"/>
                    </w:rPr>
                  </w:pPr>
                  <w:r>
                    <w:rPr>
                      <w:color w:val="000000"/>
                    </w:rPr>
                    <w:t>2020-02</w:t>
                  </w:r>
                </w:p>
              </w:tc>
              <w:tc>
                <w:tcPr>
                  <w:tcW w:w="3352" w:type="dxa"/>
                </w:tcPr>
                <w:p w14:paraId="5FB2B610" w14:textId="77777777" w:rsidR="000A3472" w:rsidRPr="002C2F95" w:rsidRDefault="000A3472" w:rsidP="00152E14">
                  <w:pPr>
                    <w:rPr>
                      <w:b/>
                      <w:color w:val="000000"/>
                    </w:rPr>
                  </w:pPr>
                  <w:r w:rsidRPr="002C2F95">
                    <w:rPr>
                      <w:color w:val="000000"/>
                    </w:rPr>
                    <w:t xml:space="preserve">Nr. </w:t>
                  </w:r>
                </w:p>
              </w:tc>
            </w:tr>
          </w:tbl>
          <w:p w14:paraId="1572CAE6" w14:textId="77777777" w:rsidR="000A3472" w:rsidRDefault="000A3472" w:rsidP="00152E14">
            <w:pPr>
              <w:rPr>
                <w:b/>
                <w:color w:val="000000"/>
              </w:rPr>
            </w:pPr>
          </w:p>
        </w:tc>
        <w:tc>
          <w:tcPr>
            <w:tcW w:w="454" w:type="dxa"/>
          </w:tcPr>
          <w:p w14:paraId="6FDE83F6" w14:textId="77777777" w:rsidR="000A3472" w:rsidRDefault="000A3472" w:rsidP="00152E14">
            <w:pPr>
              <w:rPr>
                <w:b/>
                <w:color w:val="000000"/>
              </w:rPr>
            </w:pPr>
          </w:p>
        </w:tc>
        <w:tc>
          <w:tcPr>
            <w:tcW w:w="1532" w:type="dxa"/>
          </w:tcPr>
          <w:p w14:paraId="46796D3A" w14:textId="77777777" w:rsidR="000A3472" w:rsidRDefault="000A3472" w:rsidP="00152E14">
            <w:pPr>
              <w:rPr>
                <w:b/>
                <w:color w:val="000000"/>
              </w:rPr>
            </w:pPr>
          </w:p>
        </w:tc>
        <w:tc>
          <w:tcPr>
            <w:tcW w:w="3018" w:type="dxa"/>
          </w:tcPr>
          <w:p w14:paraId="3B602376" w14:textId="77777777" w:rsidR="000A3472" w:rsidRDefault="000A3472" w:rsidP="00152E14">
            <w:pPr>
              <w:rPr>
                <w:b/>
                <w:color w:val="000000"/>
              </w:rPr>
            </w:pPr>
            <w:r>
              <w:rPr>
                <w:color w:val="000000"/>
              </w:rPr>
              <w:t>Nr.</w:t>
            </w:r>
          </w:p>
        </w:tc>
      </w:tr>
      <w:tr w:rsidR="000A3472" w:rsidRPr="007B5A51" w14:paraId="6DAAD059" w14:textId="77777777" w:rsidTr="00152E14">
        <w:trPr>
          <w:cantSplit/>
        </w:trPr>
        <w:tc>
          <w:tcPr>
            <w:tcW w:w="4643" w:type="dxa"/>
            <w:vMerge/>
          </w:tcPr>
          <w:p w14:paraId="31044879" w14:textId="77777777" w:rsidR="000A3472" w:rsidRDefault="000A3472" w:rsidP="00152E14">
            <w:pPr>
              <w:rPr>
                <w:b/>
                <w:color w:val="000000"/>
              </w:rPr>
            </w:pPr>
          </w:p>
        </w:tc>
        <w:tc>
          <w:tcPr>
            <w:tcW w:w="454" w:type="dxa"/>
          </w:tcPr>
          <w:p w14:paraId="0C5D1603" w14:textId="77777777" w:rsidR="000A3472" w:rsidRDefault="000A3472" w:rsidP="00152E14">
            <w:pPr>
              <w:rPr>
                <w:b/>
                <w:color w:val="000000"/>
              </w:rPr>
            </w:pPr>
          </w:p>
        </w:tc>
        <w:tc>
          <w:tcPr>
            <w:tcW w:w="1532" w:type="dxa"/>
          </w:tcPr>
          <w:p w14:paraId="6A223293" w14:textId="77777777" w:rsidR="000A3472" w:rsidRDefault="000A3472" w:rsidP="00152E14">
            <w:pPr>
              <w:rPr>
                <w:b/>
                <w:color w:val="000000"/>
              </w:rPr>
            </w:pPr>
          </w:p>
        </w:tc>
        <w:tc>
          <w:tcPr>
            <w:tcW w:w="3018" w:type="dxa"/>
          </w:tcPr>
          <w:p w14:paraId="3CFB282A" w14:textId="77777777" w:rsidR="000A3472" w:rsidRPr="007B5A51" w:rsidRDefault="000A3472" w:rsidP="00152E14">
            <w:pPr>
              <w:rPr>
                <w:b/>
                <w:color w:val="000000"/>
              </w:rPr>
            </w:pPr>
          </w:p>
          <w:p w14:paraId="0A40A947" w14:textId="77777777" w:rsidR="000A3472" w:rsidRDefault="000A3472" w:rsidP="00152E14">
            <w:pPr>
              <w:rPr>
                <w:b/>
                <w:color w:val="000000"/>
              </w:rPr>
            </w:pPr>
          </w:p>
        </w:tc>
      </w:tr>
      <w:tr w:rsidR="000A3472" w14:paraId="3A618708" w14:textId="77777777" w:rsidTr="00152E14">
        <w:trPr>
          <w:cantSplit/>
        </w:trPr>
        <w:tc>
          <w:tcPr>
            <w:tcW w:w="9647" w:type="dxa"/>
            <w:gridSpan w:val="4"/>
          </w:tcPr>
          <w:p w14:paraId="4D07D214" w14:textId="77777777" w:rsidR="000A3472" w:rsidRPr="008B05BD" w:rsidRDefault="000A3472" w:rsidP="00152E14">
            <w:pPr>
              <w:pStyle w:val="Antrat1"/>
              <w:tabs>
                <w:tab w:val="left" w:pos="2595"/>
              </w:tabs>
              <w:ind w:right="198"/>
              <w:jc w:val="both"/>
            </w:pPr>
            <w:r w:rsidRPr="008B05BD">
              <w:t>DĖl</w:t>
            </w:r>
            <w:r>
              <w:t xml:space="preserve"> </w:t>
            </w:r>
            <w:r w:rsidRPr="00FC4460">
              <w:t>UAB „</w:t>
            </w:r>
            <w:r>
              <w:t>prienų energija</w:t>
            </w:r>
            <w:r w:rsidRPr="00FC4460">
              <w:t>“ PLANINIO PATIKRINIMO</w:t>
            </w:r>
            <w:r>
              <w:t xml:space="preserve"> </w:t>
            </w:r>
          </w:p>
          <w:p w14:paraId="40132AE6" w14:textId="77777777" w:rsidR="000A3472" w:rsidRPr="007B5A51" w:rsidRDefault="000A3472" w:rsidP="00152E14">
            <w:pPr>
              <w:rPr>
                <w:b/>
                <w:color w:val="000000"/>
                <w:lang w:val="en-US"/>
              </w:rPr>
            </w:pPr>
          </w:p>
        </w:tc>
      </w:tr>
    </w:tbl>
    <w:p w14:paraId="4A8610B4" w14:textId="77777777" w:rsidR="000A3472" w:rsidRDefault="000A3472" w:rsidP="003F6839">
      <w:pPr>
        <w:ind w:firstLine="709"/>
        <w:jc w:val="both"/>
        <w:rPr>
          <w:rFonts w:eastAsia="Calibri"/>
          <w:b/>
        </w:rPr>
      </w:pPr>
      <w:r w:rsidRPr="000E00CA">
        <w:rPr>
          <w:rFonts w:eastAsia="Calibri"/>
        </w:rPr>
        <w:t>Valstybinė</w:t>
      </w:r>
      <w:r>
        <w:rPr>
          <w:rFonts w:eastAsia="Calibri"/>
        </w:rPr>
        <w:t>s</w:t>
      </w:r>
      <w:r w:rsidRPr="000E00CA">
        <w:rPr>
          <w:rFonts w:eastAsia="Calibri"/>
        </w:rPr>
        <w:t xml:space="preserve"> kainų ir energetikos kontrolės komisijos pirmininko 2017 m. birželio 8 d. įsakymu Nr. O1E-58 „Dėl uždarosios akcinės bendrovės „Prienų energija“ planinio patikrinimo“ (su vėlesniais pakeitimais</w:t>
      </w:r>
      <w:r>
        <w:rPr>
          <w:rFonts w:eastAsia="Calibri"/>
        </w:rPr>
        <w:t xml:space="preserve"> ir papildymais</w:t>
      </w:r>
      <w:r w:rsidRPr="000E00CA">
        <w:rPr>
          <w:rFonts w:eastAsia="Calibri"/>
        </w:rPr>
        <w:t xml:space="preserve">) </w:t>
      </w:r>
      <w:bookmarkStart w:id="2" w:name="_Hlk63075756"/>
      <w:r w:rsidRPr="000E00CA">
        <w:rPr>
          <w:rFonts w:eastAsia="Calibri"/>
        </w:rPr>
        <w:t xml:space="preserve">sudarytai tikrinimo komisijai buvo pavesta atlikti planinį </w:t>
      </w:r>
      <w:bookmarkEnd w:id="2"/>
      <w:r w:rsidRPr="000E00CA">
        <w:rPr>
          <w:rFonts w:eastAsia="Calibri"/>
        </w:rPr>
        <w:t>UAB „Prienų energija“ (nuo 2015 m. spalio 15 d.</w:t>
      </w:r>
      <w:r>
        <w:rPr>
          <w:rFonts w:eastAsia="Calibri"/>
        </w:rPr>
        <w:t xml:space="preserve"> UAB „Trakų energija“; toliau</w:t>
      </w:r>
      <w:r w:rsidRPr="000E00CA">
        <w:rPr>
          <w:rFonts w:eastAsia="Calibri"/>
        </w:rPr>
        <w:t xml:space="preserve"> – Bendrovė) patikrinimą (toliau – Patikrinimas), siekiant </w:t>
      </w:r>
      <w:bookmarkStart w:id="3" w:name="_Hlk63075781"/>
      <w:r w:rsidRPr="000E00CA">
        <w:rPr>
          <w:rFonts w:eastAsia="Calibri"/>
        </w:rPr>
        <w:t xml:space="preserve">įvertinti Bendrovės </w:t>
      </w:r>
      <w:r w:rsidRPr="003A400C">
        <w:rPr>
          <w:bCs/>
          <w:lang w:eastAsia="zh-HK"/>
        </w:rPr>
        <w:t>(</w:t>
      </w:r>
      <w:r>
        <w:rPr>
          <w:bCs/>
          <w:lang w:eastAsia="zh-HK"/>
        </w:rPr>
        <w:t xml:space="preserve">atskirai </w:t>
      </w:r>
      <w:r w:rsidRPr="003A400C">
        <w:rPr>
          <w:bCs/>
          <w:lang w:eastAsia="zh-HK"/>
        </w:rPr>
        <w:t>pagal Prienų ir Trakų padalinius)</w:t>
      </w:r>
      <w:r w:rsidRPr="00AE7CBB">
        <w:rPr>
          <w:lang w:eastAsia="zh-HK"/>
        </w:rPr>
        <w:t xml:space="preserve"> </w:t>
      </w:r>
      <w:r>
        <w:rPr>
          <w:rFonts w:eastAsia="Calibri"/>
        </w:rPr>
        <w:t xml:space="preserve">nuo </w:t>
      </w:r>
      <w:r w:rsidRPr="000E00CA">
        <w:rPr>
          <w:rFonts w:eastAsia="Calibri"/>
        </w:rPr>
        <w:t>2013</w:t>
      </w:r>
      <w:r>
        <w:rPr>
          <w:rFonts w:eastAsia="Calibri"/>
        </w:rPr>
        <w:t xml:space="preserve"> m. spalio </w:t>
      </w:r>
      <w:r w:rsidRPr="00983C4E">
        <w:rPr>
          <w:rFonts w:eastAsia="Calibri"/>
        </w:rPr>
        <w:t xml:space="preserve">1 </w:t>
      </w:r>
      <w:r>
        <w:rPr>
          <w:rFonts w:eastAsia="Calibri"/>
        </w:rPr>
        <w:t xml:space="preserve">d. iki </w:t>
      </w:r>
      <w:r w:rsidRPr="000E00CA">
        <w:rPr>
          <w:rFonts w:eastAsia="Calibri"/>
        </w:rPr>
        <w:t xml:space="preserve">2016 </w:t>
      </w:r>
      <w:r>
        <w:rPr>
          <w:rFonts w:eastAsia="Calibri"/>
        </w:rPr>
        <w:t xml:space="preserve">m. rugsėjo </w:t>
      </w:r>
      <w:r w:rsidRPr="00983C4E">
        <w:rPr>
          <w:rFonts w:eastAsia="Calibri"/>
        </w:rPr>
        <w:t>30</w:t>
      </w:r>
      <w:r>
        <w:rPr>
          <w:rFonts w:eastAsia="Calibri"/>
        </w:rPr>
        <w:t xml:space="preserve"> d.</w:t>
      </w:r>
      <w:r w:rsidRPr="000E00CA">
        <w:rPr>
          <w:rFonts w:eastAsia="Calibri"/>
        </w:rPr>
        <w:t xml:space="preserve"> </w:t>
      </w:r>
      <w:r w:rsidRPr="001753D4">
        <w:rPr>
          <w:bCs/>
        </w:rPr>
        <w:t>t. y. laikotarpiu nuo 2013 m. spalio 1 d. iki 2014 m. rugsėjo 30 d. (toliau – Laikotarpis-1), laikotarpiu nuo 2014 m. spalio 1 d. iki 2015 m. rugsėjo 30 d.</w:t>
      </w:r>
      <w:r w:rsidRPr="001753D4">
        <w:rPr>
          <w:rStyle w:val="Puslapioinaosnuoroda"/>
          <w:bCs/>
        </w:rPr>
        <w:footnoteReference w:id="1"/>
      </w:r>
      <w:r w:rsidRPr="001753D4">
        <w:rPr>
          <w:bCs/>
        </w:rPr>
        <w:t xml:space="preserve"> (toliau – Laikotarpis-2) ir laikotarpiu nuo 2015 m. spalio 1 d. iki 2016 m. rugsėjo 30 d. (toliau – Laikotarpis-3),</w:t>
      </w:r>
      <w:r>
        <w:t xml:space="preserve"> </w:t>
      </w:r>
      <w:r w:rsidRPr="000E00CA">
        <w:rPr>
          <w:rFonts w:eastAsia="Calibri"/>
        </w:rPr>
        <w:t>reguliuojam</w:t>
      </w:r>
      <w:r>
        <w:rPr>
          <w:rFonts w:eastAsia="Calibri"/>
        </w:rPr>
        <w:t>ai</w:t>
      </w:r>
      <w:r w:rsidRPr="000E00CA">
        <w:rPr>
          <w:rFonts w:eastAsia="Calibri"/>
        </w:rPr>
        <w:t xml:space="preserve"> veikl</w:t>
      </w:r>
      <w:r>
        <w:rPr>
          <w:rFonts w:eastAsia="Calibri"/>
        </w:rPr>
        <w:t>ai</w:t>
      </w:r>
      <w:r w:rsidRPr="000E00CA">
        <w:rPr>
          <w:rFonts w:eastAsia="Calibri"/>
        </w:rPr>
        <w:t xml:space="preserve"> priskirtų sąnaudų, dengiamų reguliuojam</w:t>
      </w:r>
      <w:r>
        <w:rPr>
          <w:rFonts w:eastAsia="Calibri"/>
        </w:rPr>
        <w:t>os</w:t>
      </w:r>
      <w:r w:rsidRPr="000E00CA">
        <w:rPr>
          <w:rFonts w:eastAsia="Calibri"/>
        </w:rPr>
        <w:t xml:space="preserve"> veikl</w:t>
      </w:r>
      <w:r>
        <w:rPr>
          <w:rFonts w:eastAsia="Calibri"/>
        </w:rPr>
        <w:t>os</w:t>
      </w:r>
      <w:r w:rsidRPr="000E00CA">
        <w:rPr>
          <w:rFonts w:eastAsia="Calibri"/>
        </w:rPr>
        <w:t xml:space="preserve"> pajamomis, pagrįstumą.</w:t>
      </w:r>
      <w:bookmarkEnd w:id="3"/>
    </w:p>
    <w:p w14:paraId="143B9838" w14:textId="77777777" w:rsidR="000A3472" w:rsidRPr="009D0C86" w:rsidRDefault="000A3472" w:rsidP="003F6839">
      <w:pPr>
        <w:ind w:firstLine="709"/>
        <w:jc w:val="both"/>
        <w:rPr>
          <w:rFonts w:eastAsia="Calibri"/>
          <w:b/>
        </w:rPr>
      </w:pPr>
      <w:r w:rsidRPr="006130E2">
        <w:rPr>
          <w:rFonts w:eastAsia="TimesNewRomanPSMT"/>
        </w:rPr>
        <w:t xml:space="preserve">Tikrinimo komisija, išnagrinėjusi </w:t>
      </w:r>
      <w:r>
        <w:rPr>
          <w:rFonts w:eastAsia="TimesNewRomanPSMT"/>
        </w:rPr>
        <w:t>P</w:t>
      </w:r>
      <w:r w:rsidRPr="006130E2">
        <w:rPr>
          <w:rFonts w:eastAsia="TimesNewRomanPSMT"/>
        </w:rPr>
        <w:t>atikrinimo metu surinktą informaciją</w:t>
      </w:r>
      <w:r>
        <w:rPr>
          <w:rFonts w:eastAsia="TimesNewRomanPSMT"/>
        </w:rPr>
        <w:t xml:space="preserve"> ir įvertinusi Bendrovės Patikrinimo akto projektui </w:t>
      </w:r>
      <w:r w:rsidRPr="00316D81">
        <w:rPr>
          <w:bCs/>
        </w:rPr>
        <w:t>pateiktą papildomą informaciją ir paaiškinimus</w:t>
      </w:r>
      <w:r w:rsidRPr="00316D81">
        <w:rPr>
          <w:rFonts w:eastAsia="TimesNewRomanPSMT"/>
          <w:bCs/>
        </w:rPr>
        <w:t>,</w:t>
      </w:r>
      <w:r>
        <w:rPr>
          <w:rFonts w:eastAsia="TimesNewRomanPSMT"/>
        </w:rPr>
        <w:t xml:space="preserve"> </w:t>
      </w:r>
      <w:r w:rsidRPr="00F12812">
        <w:rPr>
          <w:rFonts w:eastAsia="TimesNewRomanPSMT"/>
        </w:rPr>
        <w:t>vadovaudamasi</w:t>
      </w:r>
      <w:r>
        <w:rPr>
          <w:rFonts w:eastAsia="TimesNewRomanPSMT"/>
        </w:rPr>
        <w:t xml:space="preserve"> </w:t>
      </w:r>
      <w:r w:rsidRPr="001753D4">
        <w:rPr>
          <w:rFonts w:eastAsia="TimesNewRomanPSMT"/>
        </w:rPr>
        <w:t>Energetikos įmonių reguliuojamos veiklos patikrinimų tvarkos apraš</w:t>
      </w:r>
      <w:r>
        <w:rPr>
          <w:rFonts w:eastAsia="TimesNewRomanPSMT"/>
        </w:rPr>
        <w:t>o</w:t>
      </w:r>
      <w:r w:rsidRPr="001753D4">
        <w:rPr>
          <w:rFonts w:eastAsia="TimesNewRomanPSMT"/>
        </w:rPr>
        <w:t>, patvirtint</w:t>
      </w:r>
      <w:r>
        <w:rPr>
          <w:rFonts w:eastAsia="TimesNewRomanPSMT"/>
        </w:rPr>
        <w:t xml:space="preserve">o </w:t>
      </w:r>
      <w:r w:rsidRPr="001753D4">
        <w:rPr>
          <w:rFonts w:eastAsia="TimesNewRomanPSMT"/>
        </w:rPr>
        <w:t>Valstybinės energetikos reguliavimo tarybos (toliau – Taryba) 2014 m. gegužės 26 d. nutarimu Nr.</w:t>
      </w:r>
      <w:r w:rsidRPr="000E00CA">
        <w:rPr>
          <w:rFonts w:eastAsia="Calibri"/>
        </w:rPr>
        <w:t> </w:t>
      </w:r>
      <w:r w:rsidRPr="001753D4">
        <w:rPr>
          <w:rFonts w:eastAsia="TimesNewRomanPSMT"/>
        </w:rPr>
        <w:t>O3-140 „Dėl Energetikos įmonių reguliuojamos veiklos patikrinimų tvarkos aprašo patvirtinimo“</w:t>
      </w:r>
      <w:r>
        <w:rPr>
          <w:rFonts w:eastAsia="TimesNewRomanPSMT"/>
        </w:rPr>
        <w:t xml:space="preserve"> 65 punktu, parengė </w:t>
      </w:r>
      <w:r w:rsidRPr="001C55A5">
        <w:rPr>
          <w:bCs/>
        </w:rPr>
        <w:t>2021 m. balandžio 26 d. planinio patikrinimo aktą Nr. S3-1 (toliau – Patikrinimo aktas)</w:t>
      </w:r>
      <w:r>
        <w:rPr>
          <w:bCs/>
        </w:rPr>
        <w:t xml:space="preserve">, kuriam buvo pritarta Tarybos 2021 m. gegužės </w:t>
      </w:r>
      <w:r>
        <w:rPr>
          <w:bCs/>
          <w:lang w:val="en-US"/>
        </w:rPr>
        <w:t>21</w:t>
      </w:r>
      <w:r w:rsidRPr="000E00CA">
        <w:rPr>
          <w:rFonts w:eastAsia="Calibri"/>
        </w:rPr>
        <w:t> </w:t>
      </w:r>
      <w:r>
        <w:rPr>
          <w:bCs/>
          <w:lang w:val="en-US"/>
        </w:rPr>
        <w:t xml:space="preserve">d. </w:t>
      </w:r>
      <w:r w:rsidRPr="003E7F11">
        <w:rPr>
          <w:bCs/>
        </w:rPr>
        <w:t xml:space="preserve">nutarimu </w:t>
      </w:r>
      <w:r>
        <w:rPr>
          <w:bCs/>
        </w:rPr>
        <w:t xml:space="preserve">Nr. O3E-634 „Dėl UAB „Prienų energija“ planinio patikrinimo“. Taryba, </w:t>
      </w:r>
      <w:r w:rsidRPr="00007E17">
        <w:rPr>
          <w:bCs/>
        </w:rPr>
        <w:t>atsižvelgus</w:t>
      </w:r>
      <w:r>
        <w:rPr>
          <w:bCs/>
        </w:rPr>
        <w:t>i</w:t>
      </w:r>
      <w:r w:rsidRPr="00007E17">
        <w:rPr>
          <w:bCs/>
        </w:rPr>
        <w:t xml:space="preserve"> į tai, kad Bendrovė Prienų rajone šilumos teikimo veiklos nebevykdo, informuo</w:t>
      </w:r>
      <w:r>
        <w:rPr>
          <w:bCs/>
        </w:rPr>
        <w:t>ja</w:t>
      </w:r>
      <w:r w:rsidRPr="00007E17">
        <w:rPr>
          <w:bCs/>
        </w:rPr>
        <w:t xml:space="preserve"> Prienų rajono savivaldybę apie </w:t>
      </w:r>
      <w:r>
        <w:rPr>
          <w:bCs/>
        </w:rPr>
        <w:t>Bendrovės</w:t>
      </w:r>
      <w:r w:rsidRPr="00007E17">
        <w:rPr>
          <w:bCs/>
        </w:rPr>
        <w:t xml:space="preserve"> Prienų padalinio papildomai gautų pajamų sumą</w:t>
      </w:r>
      <w:r>
        <w:rPr>
          <w:bCs/>
        </w:rPr>
        <w:t xml:space="preserve"> </w:t>
      </w:r>
      <w:r w:rsidRPr="00007E17">
        <w:rPr>
          <w:bCs/>
        </w:rPr>
        <w:t>dėl Laikotarpiu-1</w:t>
      </w:r>
      <w:r>
        <w:rPr>
          <w:bCs/>
        </w:rPr>
        <w:t xml:space="preserve"> </w:t>
      </w:r>
      <w:r w:rsidRPr="00007E17">
        <w:rPr>
          <w:bCs/>
        </w:rPr>
        <w:t>ir Laikotarpiu-2</w:t>
      </w:r>
      <w:r>
        <w:rPr>
          <w:bCs/>
        </w:rPr>
        <w:t xml:space="preserve"> </w:t>
      </w:r>
      <w:r w:rsidRPr="00007E17">
        <w:rPr>
          <w:bCs/>
        </w:rPr>
        <w:t>faktinės investicijų grąžos</w:t>
      </w:r>
      <w:r>
        <w:rPr>
          <w:bCs/>
        </w:rPr>
        <w:t xml:space="preserve"> </w:t>
      </w:r>
      <w:r w:rsidRPr="00B477A4">
        <w:rPr>
          <w:lang w:eastAsia="x-none"/>
        </w:rPr>
        <w:t>viršijimo</w:t>
      </w:r>
      <w:r w:rsidRPr="00007E17">
        <w:rPr>
          <w:bCs/>
        </w:rPr>
        <w:t xml:space="preserve"> nustatytą investicijų grąžą</w:t>
      </w:r>
      <w:r w:rsidRPr="000E00CA">
        <w:rPr>
          <w:rFonts w:eastAsia="Calibri"/>
        </w:rPr>
        <w:t> </w:t>
      </w:r>
      <w:r w:rsidRPr="001753D4">
        <w:rPr>
          <w:rFonts w:eastAsia="TimesNewRomanPSMT"/>
        </w:rPr>
        <w:t>–</w:t>
      </w:r>
      <w:r w:rsidRPr="000E00CA">
        <w:rPr>
          <w:rFonts w:eastAsia="Calibri"/>
        </w:rPr>
        <w:t> </w:t>
      </w:r>
      <w:r w:rsidRPr="00007E17">
        <w:rPr>
          <w:bCs/>
        </w:rPr>
        <w:t>173</w:t>
      </w:r>
      <w:r w:rsidRPr="000E00CA">
        <w:rPr>
          <w:rFonts w:eastAsia="Calibri"/>
        </w:rPr>
        <w:t> </w:t>
      </w:r>
      <w:r w:rsidRPr="00007E17">
        <w:rPr>
          <w:bCs/>
        </w:rPr>
        <w:t>850 Eur ir apie 2013 m. spalio 1 d. – 2015 m. rugpjūčio 31</w:t>
      </w:r>
      <w:r>
        <w:rPr>
          <w:bCs/>
        </w:rPr>
        <w:t> </w:t>
      </w:r>
      <w:r w:rsidRPr="00007E17">
        <w:rPr>
          <w:bCs/>
        </w:rPr>
        <w:t>d. laikotarpiu dėl šilumos kainoje įskaitytų ir faktiškai patirtų sąnaudų kurui įsigyti neatitikimo Bendrovės papildomai gautas pajamas</w:t>
      </w:r>
      <w:r>
        <w:rPr>
          <w:bCs/>
        </w:rPr>
        <w:t xml:space="preserve"> </w:t>
      </w:r>
      <w:r w:rsidRPr="001753D4">
        <w:rPr>
          <w:rFonts w:eastAsia="TimesNewRomanPSMT"/>
        </w:rPr>
        <w:t>–</w:t>
      </w:r>
      <w:r w:rsidRPr="00007E17">
        <w:rPr>
          <w:bCs/>
        </w:rPr>
        <w:t>125</w:t>
      </w:r>
      <w:r w:rsidRPr="001C55A5">
        <w:rPr>
          <w:bCs/>
        </w:rPr>
        <w:t> </w:t>
      </w:r>
      <w:r w:rsidRPr="00007E17">
        <w:rPr>
          <w:bCs/>
        </w:rPr>
        <w:t>620</w:t>
      </w:r>
      <w:r w:rsidRPr="001C55A5">
        <w:rPr>
          <w:bCs/>
        </w:rPr>
        <w:t> </w:t>
      </w:r>
      <w:r w:rsidRPr="00007E17">
        <w:rPr>
          <w:bCs/>
        </w:rPr>
        <w:t>Eur</w:t>
      </w:r>
      <w:r>
        <w:rPr>
          <w:bCs/>
        </w:rPr>
        <w:t>.</w:t>
      </w:r>
    </w:p>
    <w:p w14:paraId="4D4B531E" w14:textId="77777777" w:rsidR="000A3472" w:rsidRPr="004D387A" w:rsidRDefault="000A3472" w:rsidP="000A3472">
      <w:pPr>
        <w:spacing w:line="276" w:lineRule="auto"/>
        <w:ind w:firstLine="720"/>
        <w:rPr>
          <w:b/>
          <w:bCs/>
        </w:rPr>
      </w:pPr>
    </w:p>
    <w:p w14:paraId="5DC07745" w14:textId="77777777" w:rsidR="000A3472" w:rsidRDefault="000A3472" w:rsidP="000A3472">
      <w:pPr>
        <w:rPr>
          <w:b/>
          <w:color w:val="000000"/>
        </w:rPr>
      </w:pPr>
    </w:p>
    <w:p w14:paraId="3BAC75F2" w14:textId="77777777" w:rsidR="000A3472" w:rsidRDefault="000A3472" w:rsidP="000A3472">
      <w:pPr>
        <w:rPr>
          <w:b/>
          <w:color w:val="000000"/>
        </w:rPr>
      </w:pPr>
    </w:p>
    <w:p w14:paraId="6235A39F" w14:textId="18272D05" w:rsidR="000A3472" w:rsidRPr="00977950" w:rsidRDefault="000A3472" w:rsidP="000A3472">
      <w:pPr>
        <w:rPr>
          <w:b/>
          <w:color w:val="000000"/>
        </w:rPr>
      </w:pPr>
      <w:r w:rsidRPr="00977950">
        <w:t xml:space="preserve">Tarybos </w:t>
      </w:r>
      <w:r>
        <w:t>narys</w:t>
      </w:r>
      <w:r w:rsidRPr="00977950">
        <w:tab/>
      </w:r>
      <w:r w:rsidRPr="00977950">
        <w:tab/>
      </w:r>
      <w:r w:rsidRPr="00977950">
        <w:tab/>
      </w:r>
      <w:r w:rsidRPr="00977950">
        <w:tab/>
        <w:t xml:space="preserve">         </w:t>
      </w:r>
      <w:r>
        <w:t xml:space="preserve">Matas </w:t>
      </w:r>
      <w:proofErr w:type="spellStart"/>
      <w:r>
        <w:t>Taparauskas</w:t>
      </w:r>
      <w:proofErr w:type="spellEnd"/>
    </w:p>
    <w:p w14:paraId="3F02924D" w14:textId="77777777" w:rsidR="000A3472" w:rsidRDefault="000A3472" w:rsidP="000A3472">
      <w:pPr>
        <w:rPr>
          <w:b/>
          <w:color w:val="000000"/>
        </w:rPr>
      </w:pPr>
    </w:p>
    <w:p w14:paraId="60B37A8C" w14:textId="77777777" w:rsidR="000A3472" w:rsidRDefault="000A3472" w:rsidP="000A3472">
      <w:pPr>
        <w:rPr>
          <w:b/>
          <w:color w:val="000000"/>
        </w:rPr>
      </w:pPr>
    </w:p>
    <w:p w14:paraId="6071403F" w14:textId="77777777" w:rsidR="000A3472" w:rsidRDefault="000A3472" w:rsidP="000A3472">
      <w:pPr>
        <w:rPr>
          <w:b/>
          <w:color w:val="000000"/>
        </w:rPr>
      </w:pPr>
    </w:p>
    <w:p w14:paraId="73BAA699" w14:textId="77777777" w:rsidR="000A3472" w:rsidRDefault="000A3472" w:rsidP="000A3472">
      <w:pPr>
        <w:rPr>
          <w:b/>
          <w:color w:val="000000"/>
        </w:rPr>
      </w:pPr>
      <w:r w:rsidRPr="00A706C1">
        <w:rPr>
          <w:b/>
          <w:noProof/>
          <w:color w:val="000000"/>
        </w:rPr>
        <w:drawing>
          <wp:anchor distT="0" distB="0" distL="114300" distR="114300" simplePos="0" relativeHeight="251660288" behindDoc="0" locked="0" layoutInCell="1" allowOverlap="1" wp14:anchorId="4BF62F99" wp14:editId="3E8CD4CD">
            <wp:simplePos x="0" y="0"/>
            <wp:positionH relativeFrom="margin">
              <wp:align>right</wp:align>
            </wp:positionH>
            <wp:positionV relativeFrom="margin">
              <wp:align>bottom</wp:align>
            </wp:positionV>
            <wp:extent cx="838835" cy="633095"/>
            <wp:effectExtent l="0" t="0" r="0" b="0"/>
            <wp:wrapSquare wrapText="bothSides"/>
            <wp:docPr id="15" name="Paveikslėlis 6" descr="A picture containing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veikslėlis 6" descr="A picture containing scatt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835" cy="633095"/>
                    </a:xfrm>
                    <a:prstGeom prst="rect">
                      <a:avLst/>
                    </a:prstGeom>
                  </pic:spPr>
                </pic:pic>
              </a:graphicData>
            </a:graphic>
          </wp:anchor>
        </w:drawing>
      </w:r>
    </w:p>
    <w:p w14:paraId="5A962322" w14:textId="77777777" w:rsidR="000A3472" w:rsidRPr="00007E17" w:rsidRDefault="000A3472" w:rsidP="000A3472">
      <w:pPr>
        <w:rPr>
          <w:b/>
          <w:color w:val="000000"/>
        </w:rPr>
      </w:pPr>
      <w:r>
        <w:rPr>
          <w:color w:val="000000"/>
        </w:rPr>
        <w:t>T</w:t>
      </w:r>
      <w:r w:rsidRPr="00977950">
        <w:rPr>
          <w:color w:val="000000"/>
        </w:rPr>
        <w:t xml:space="preserve">. </w:t>
      </w:r>
      <w:proofErr w:type="spellStart"/>
      <w:r>
        <w:rPr>
          <w:color w:val="000000"/>
        </w:rPr>
        <w:t>Žilinska</w:t>
      </w:r>
      <w:proofErr w:type="spellEnd"/>
      <w:r w:rsidRPr="00977950">
        <w:rPr>
          <w:color w:val="000000"/>
        </w:rPr>
        <w:t xml:space="preserve">, tel. (8 5) 213 3430, el. p. </w:t>
      </w:r>
      <w:r w:rsidRPr="00DB78F9">
        <w:rPr>
          <w:noProof/>
        </w:rPr>
        <w:t>tatjana.zilinska@vert.lt</w:t>
      </w:r>
    </w:p>
    <w:p w14:paraId="626F6D0B" w14:textId="77777777" w:rsidR="000A3472" w:rsidRPr="009525CA" w:rsidRDefault="000A3472" w:rsidP="009525CA">
      <w:pPr>
        <w:jc w:val="both"/>
      </w:pPr>
    </w:p>
    <w:sectPr w:rsidR="000A3472" w:rsidRPr="009525CA" w:rsidSect="00F647F4">
      <w:headerReference w:type="default" r:id="rId10"/>
      <w:type w:val="continuous"/>
      <w:pgSz w:w="11907" w:h="16840" w:code="9"/>
      <w:pgMar w:top="426" w:right="708" w:bottom="426" w:left="1134" w:header="720" w:footer="720" w:gutter="0"/>
      <w:cols w:space="1296"/>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D60ED" w14:textId="77777777" w:rsidR="008D44AA" w:rsidRDefault="008D44AA">
      <w:r>
        <w:separator/>
      </w:r>
    </w:p>
  </w:endnote>
  <w:endnote w:type="continuationSeparator" w:id="0">
    <w:p w14:paraId="4EC8D4C7" w14:textId="77777777" w:rsidR="008D44AA" w:rsidRDefault="008D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43E76" w14:textId="77777777" w:rsidR="008D44AA" w:rsidRDefault="008D44AA">
      <w:r>
        <w:separator/>
      </w:r>
    </w:p>
  </w:footnote>
  <w:footnote w:type="continuationSeparator" w:id="0">
    <w:p w14:paraId="1FD1AA08" w14:textId="77777777" w:rsidR="008D44AA" w:rsidRDefault="008D44AA">
      <w:r>
        <w:continuationSeparator/>
      </w:r>
    </w:p>
  </w:footnote>
  <w:footnote w:id="1">
    <w:p w14:paraId="3BCC9C9B" w14:textId="77777777" w:rsidR="000A3472" w:rsidRDefault="000A3472" w:rsidP="000A3472">
      <w:pPr>
        <w:pStyle w:val="Puslapioinaostekstas"/>
      </w:pPr>
      <w:r>
        <w:rPr>
          <w:rStyle w:val="Puslapioinaosnuoroda"/>
        </w:rPr>
        <w:footnoteRef/>
      </w:r>
      <w:r>
        <w:t xml:space="preserve"> </w:t>
      </w:r>
      <w:r w:rsidRPr="00C06361">
        <w:rPr>
          <w:bCs/>
        </w:rPr>
        <w:t>Prienų padalinio atveju vertinamas laikotarpis iki 2015 m. rugpjūčio 31 d., nes Prienų rajono savivaldybės tarybos 2015 m. liepos 30 d. sprendimu Nr. T3-160 „Dėl pritarimo Prienų rajono šilumos ūkio nuomos, atnaujinimo ir šilumos tiekimo vartotojams sutarties pasibaigimo, turto nuomos sutarties pasibaigimo ir turto perdavimo sutarčiai“ nuo 2015 m. rugpjūčio 31 d. nutraukta šilumos ūkio nuomos su Bendrove sutartis.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4318" w14:textId="77777777" w:rsidR="004B6CE2" w:rsidRDefault="004B6CE2" w:rsidP="006F3F5D">
    <w:pPr>
      <w:pStyle w:val="Antrats"/>
      <w:rPr>
        <w:lang w:val="en-US"/>
      </w:rPr>
    </w:pPr>
  </w:p>
  <w:p w14:paraId="73684319" w14:textId="77777777" w:rsidR="004B6CE2" w:rsidRDefault="004B6CE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446"/>
    <w:multiLevelType w:val="hybridMultilevel"/>
    <w:tmpl w:val="E5EC21B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8F6CEC"/>
    <w:multiLevelType w:val="hybridMultilevel"/>
    <w:tmpl w:val="B23C3FD2"/>
    <w:lvl w:ilvl="0" w:tplc="04270011">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104606"/>
    <w:multiLevelType w:val="hybridMultilevel"/>
    <w:tmpl w:val="C3A64D64"/>
    <w:lvl w:ilvl="0" w:tplc="9D28B04C">
      <w:start w:val="1"/>
      <w:numFmt w:val="decimal"/>
      <w:lvlText w:val="%1)"/>
      <w:lvlJc w:val="left"/>
      <w:pPr>
        <w:tabs>
          <w:tab w:val="num" w:pos="720"/>
        </w:tabs>
        <w:ind w:left="720" w:hanging="360"/>
      </w:pPr>
      <w:rPr>
        <w:rFonts w:cs="Times New Roman" w:hint="default"/>
        <w:color w:val="00000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E04C20"/>
    <w:multiLevelType w:val="hybridMultilevel"/>
    <w:tmpl w:val="F7B6A6EC"/>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3E8D6098"/>
    <w:multiLevelType w:val="hybridMultilevel"/>
    <w:tmpl w:val="28B408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11041CB"/>
    <w:multiLevelType w:val="hybridMultilevel"/>
    <w:tmpl w:val="F3CEC74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62F1B2F"/>
    <w:multiLevelType w:val="hybridMultilevel"/>
    <w:tmpl w:val="D03881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1E22BA8"/>
    <w:multiLevelType w:val="hybridMultilevel"/>
    <w:tmpl w:val="4A727D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3A"/>
    <w:rsid w:val="0000647F"/>
    <w:rsid w:val="00007E0B"/>
    <w:rsid w:val="00010E6E"/>
    <w:rsid w:val="000150B8"/>
    <w:rsid w:val="00027A92"/>
    <w:rsid w:val="00040C40"/>
    <w:rsid w:val="00043644"/>
    <w:rsid w:val="00055531"/>
    <w:rsid w:val="00055E29"/>
    <w:rsid w:val="000568F9"/>
    <w:rsid w:val="000658BF"/>
    <w:rsid w:val="00076FF8"/>
    <w:rsid w:val="0008087C"/>
    <w:rsid w:val="00085023"/>
    <w:rsid w:val="00085FB6"/>
    <w:rsid w:val="0008752F"/>
    <w:rsid w:val="000922A3"/>
    <w:rsid w:val="000934BC"/>
    <w:rsid w:val="000A1929"/>
    <w:rsid w:val="000A3472"/>
    <w:rsid w:val="000A6285"/>
    <w:rsid w:val="000C210B"/>
    <w:rsid w:val="000C62D7"/>
    <w:rsid w:val="000E44DE"/>
    <w:rsid w:val="00100CED"/>
    <w:rsid w:val="00110F93"/>
    <w:rsid w:val="00132EA2"/>
    <w:rsid w:val="00160AC4"/>
    <w:rsid w:val="00172AEA"/>
    <w:rsid w:val="00173715"/>
    <w:rsid w:val="00191B41"/>
    <w:rsid w:val="001B1C10"/>
    <w:rsid w:val="001C2169"/>
    <w:rsid w:val="001E1CE5"/>
    <w:rsid w:val="001F3D9B"/>
    <w:rsid w:val="00233618"/>
    <w:rsid w:val="00237ED3"/>
    <w:rsid w:val="00245752"/>
    <w:rsid w:val="002476EB"/>
    <w:rsid w:val="00285172"/>
    <w:rsid w:val="002D3D0D"/>
    <w:rsid w:val="002F1935"/>
    <w:rsid w:val="00305F20"/>
    <w:rsid w:val="00313149"/>
    <w:rsid w:val="00314E15"/>
    <w:rsid w:val="00324EFB"/>
    <w:rsid w:val="00363F58"/>
    <w:rsid w:val="00365233"/>
    <w:rsid w:val="003748D0"/>
    <w:rsid w:val="003A6F96"/>
    <w:rsid w:val="003D5D96"/>
    <w:rsid w:val="003D5E8D"/>
    <w:rsid w:val="003F158F"/>
    <w:rsid w:val="003F6839"/>
    <w:rsid w:val="003F7EF7"/>
    <w:rsid w:val="00401619"/>
    <w:rsid w:val="004101C9"/>
    <w:rsid w:val="004323C9"/>
    <w:rsid w:val="00443ED6"/>
    <w:rsid w:val="00447126"/>
    <w:rsid w:val="004668FA"/>
    <w:rsid w:val="00494F28"/>
    <w:rsid w:val="004B6CE2"/>
    <w:rsid w:val="004C24A1"/>
    <w:rsid w:val="004E24C9"/>
    <w:rsid w:val="004E5299"/>
    <w:rsid w:val="005069BD"/>
    <w:rsid w:val="00511CD6"/>
    <w:rsid w:val="00523342"/>
    <w:rsid w:val="00525717"/>
    <w:rsid w:val="00561625"/>
    <w:rsid w:val="005748C2"/>
    <w:rsid w:val="005A02C5"/>
    <w:rsid w:val="005A53B5"/>
    <w:rsid w:val="005A7E84"/>
    <w:rsid w:val="005B2AD2"/>
    <w:rsid w:val="005B729D"/>
    <w:rsid w:val="005E2661"/>
    <w:rsid w:val="005E5B3B"/>
    <w:rsid w:val="005F3C46"/>
    <w:rsid w:val="0060242F"/>
    <w:rsid w:val="00607677"/>
    <w:rsid w:val="006842C5"/>
    <w:rsid w:val="00690F80"/>
    <w:rsid w:val="006B4B12"/>
    <w:rsid w:val="006C3C03"/>
    <w:rsid w:val="006C6E6A"/>
    <w:rsid w:val="006D0FF7"/>
    <w:rsid w:val="006E21BD"/>
    <w:rsid w:val="006E3AB1"/>
    <w:rsid w:val="006F0ED2"/>
    <w:rsid w:val="006F3F5D"/>
    <w:rsid w:val="00710282"/>
    <w:rsid w:val="00711B15"/>
    <w:rsid w:val="00713901"/>
    <w:rsid w:val="0072322B"/>
    <w:rsid w:val="00741A43"/>
    <w:rsid w:val="0075486A"/>
    <w:rsid w:val="0076260D"/>
    <w:rsid w:val="0077173F"/>
    <w:rsid w:val="00773C47"/>
    <w:rsid w:val="0078437C"/>
    <w:rsid w:val="007B3324"/>
    <w:rsid w:val="007B5143"/>
    <w:rsid w:val="007B6E54"/>
    <w:rsid w:val="007D4AF2"/>
    <w:rsid w:val="007E0629"/>
    <w:rsid w:val="007E204C"/>
    <w:rsid w:val="007F1C28"/>
    <w:rsid w:val="007F1C4B"/>
    <w:rsid w:val="00815EAE"/>
    <w:rsid w:val="008463F4"/>
    <w:rsid w:val="00853B54"/>
    <w:rsid w:val="0087747A"/>
    <w:rsid w:val="008940D3"/>
    <w:rsid w:val="00896A8C"/>
    <w:rsid w:val="008979C4"/>
    <w:rsid w:val="008B1384"/>
    <w:rsid w:val="008D44AA"/>
    <w:rsid w:val="008E6B80"/>
    <w:rsid w:val="008F2063"/>
    <w:rsid w:val="008F45AD"/>
    <w:rsid w:val="008F7A40"/>
    <w:rsid w:val="0090304F"/>
    <w:rsid w:val="00903464"/>
    <w:rsid w:val="00920789"/>
    <w:rsid w:val="00936DB1"/>
    <w:rsid w:val="009525CA"/>
    <w:rsid w:val="00956265"/>
    <w:rsid w:val="0096054B"/>
    <w:rsid w:val="009A077E"/>
    <w:rsid w:val="009B3E0B"/>
    <w:rsid w:val="009D5F90"/>
    <w:rsid w:val="009F1971"/>
    <w:rsid w:val="00A01925"/>
    <w:rsid w:val="00A068DC"/>
    <w:rsid w:val="00A130B0"/>
    <w:rsid w:val="00A265B0"/>
    <w:rsid w:val="00A270D0"/>
    <w:rsid w:val="00A31AD4"/>
    <w:rsid w:val="00A50196"/>
    <w:rsid w:val="00A7707F"/>
    <w:rsid w:val="00A818A1"/>
    <w:rsid w:val="00A8472A"/>
    <w:rsid w:val="00A859A3"/>
    <w:rsid w:val="00A977F4"/>
    <w:rsid w:val="00AA178C"/>
    <w:rsid w:val="00AE56A9"/>
    <w:rsid w:val="00B020F5"/>
    <w:rsid w:val="00B221BB"/>
    <w:rsid w:val="00B357D7"/>
    <w:rsid w:val="00B550F7"/>
    <w:rsid w:val="00B746A9"/>
    <w:rsid w:val="00B7699C"/>
    <w:rsid w:val="00B84230"/>
    <w:rsid w:val="00B84E5F"/>
    <w:rsid w:val="00BA0AD1"/>
    <w:rsid w:val="00BD5364"/>
    <w:rsid w:val="00BD683C"/>
    <w:rsid w:val="00BE0101"/>
    <w:rsid w:val="00BE4103"/>
    <w:rsid w:val="00C06A0E"/>
    <w:rsid w:val="00C11F38"/>
    <w:rsid w:val="00C40741"/>
    <w:rsid w:val="00C50929"/>
    <w:rsid w:val="00C628DA"/>
    <w:rsid w:val="00C65A2C"/>
    <w:rsid w:val="00C92024"/>
    <w:rsid w:val="00C93DA7"/>
    <w:rsid w:val="00CB130D"/>
    <w:rsid w:val="00CC2BC0"/>
    <w:rsid w:val="00CF32E3"/>
    <w:rsid w:val="00CF77DA"/>
    <w:rsid w:val="00D003CF"/>
    <w:rsid w:val="00D02C87"/>
    <w:rsid w:val="00D04CAF"/>
    <w:rsid w:val="00D11CA6"/>
    <w:rsid w:val="00D641C3"/>
    <w:rsid w:val="00D81159"/>
    <w:rsid w:val="00D91383"/>
    <w:rsid w:val="00D944C5"/>
    <w:rsid w:val="00DA52DD"/>
    <w:rsid w:val="00DB130D"/>
    <w:rsid w:val="00DE2BB4"/>
    <w:rsid w:val="00DF4546"/>
    <w:rsid w:val="00E84608"/>
    <w:rsid w:val="00EC58FC"/>
    <w:rsid w:val="00EC6B3A"/>
    <w:rsid w:val="00ED2830"/>
    <w:rsid w:val="00EE359F"/>
    <w:rsid w:val="00EE521F"/>
    <w:rsid w:val="00F257BA"/>
    <w:rsid w:val="00F43005"/>
    <w:rsid w:val="00F56A98"/>
    <w:rsid w:val="00F647F4"/>
    <w:rsid w:val="00F70973"/>
    <w:rsid w:val="00F739E7"/>
    <w:rsid w:val="00F85D2A"/>
    <w:rsid w:val="00F86502"/>
    <w:rsid w:val="00F86D1C"/>
    <w:rsid w:val="00F96542"/>
    <w:rsid w:val="00FB4448"/>
    <w:rsid w:val="00FB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842F0"/>
  <w15:docId w15:val="{6CA0BC48-28E8-40E9-8DC9-41F74240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3C46"/>
    <w:rPr>
      <w:sz w:val="24"/>
      <w:szCs w:val="24"/>
    </w:rPr>
  </w:style>
  <w:style w:type="paragraph" w:styleId="Antrat1">
    <w:name w:val="heading 1"/>
    <w:basedOn w:val="prastasis"/>
    <w:next w:val="prastasis"/>
    <w:link w:val="Antrat1Diagrama"/>
    <w:qFormat/>
    <w:rsid w:val="000A3472"/>
    <w:pPr>
      <w:keepNext/>
      <w:outlineLvl w:val="0"/>
    </w:pPr>
    <w:rPr>
      <w:b/>
      <w:caps/>
      <w:color w:val="00000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F3F5D"/>
    <w:pPr>
      <w:tabs>
        <w:tab w:val="center" w:pos="4677"/>
        <w:tab w:val="right" w:pos="9355"/>
      </w:tabs>
    </w:pPr>
  </w:style>
  <w:style w:type="paragraph" w:styleId="Porat">
    <w:name w:val="footer"/>
    <w:basedOn w:val="prastasis"/>
    <w:rsid w:val="006F3F5D"/>
    <w:pPr>
      <w:tabs>
        <w:tab w:val="center" w:pos="4677"/>
        <w:tab w:val="right" w:pos="9355"/>
      </w:tabs>
    </w:pPr>
  </w:style>
  <w:style w:type="character" w:styleId="Hipersaitas">
    <w:name w:val="Hyperlink"/>
    <w:rsid w:val="00936DB1"/>
    <w:rPr>
      <w:color w:val="0000FF"/>
      <w:u w:val="single"/>
    </w:rPr>
  </w:style>
  <w:style w:type="paragraph" w:styleId="Sraopastraipa">
    <w:name w:val="List Paragraph"/>
    <w:basedOn w:val="prastasis"/>
    <w:uiPriority w:val="34"/>
    <w:qFormat/>
    <w:rsid w:val="00285172"/>
    <w:pPr>
      <w:ind w:left="720"/>
      <w:contextualSpacing/>
    </w:pPr>
  </w:style>
  <w:style w:type="character" w:styleId="Perirtashipersaitas">
    <w:name w:val="FollowedHyperlink"/>
    <w:basedOn w:val="Numatytasispastraiposriftas"/>
    <w:rsid w:val="00B357D7"/>
    <w:rPr>
      <w:color w:val="954F72" w:themeColor="followedHyperlink"/>
      <w:u w:val="single"/>
    </w:rPr>
  </w:style>
  <w:style w:type="paragraph" w:styleId="Puslapioinaostekstas">
    <w:name w:val="footnote text"/>
    <w:aliases w:val="Diagrama"/>
    <w:basedOn w:val="prastasis"/>
    <w:link w:val="PuslapioinaostekstasDiagrama"/>
    <w:uiPriority w:val="99"/>
    <w:rsid w:val="00853B54"/>
    <w:rPr>
      <w:sz w:val="20"/>
      <w:szCs w:val="20"/>
    </w:rPr>
  </w:style>
  <w:style w:type="character" w:customStyle="1" w:styleId="PuslapioinaostekstasDiagrama">
    <w:name w:val="Puslapio išnašos tekstas Diagrama"/>
    <w:aliases w:val="Diagrama Diagrama"/>
    <w:basedOn w:val="Numatytasispastraiposriftas"/>
    <w:link w:val="Puslapioinaostekstas"/>
    <w:uiPriority w:val="99"/>
    <w:rsid w:val="00853B54"/>
  </w:style>
  <w:style w:type="character" w:styleId="Puslapioinaosnuoroda">
    <w:name w:val="footnote reference"/>
    <w:basedOn w:val="Numatytasispastraiposriftas"/>
    <w:uiPriority w:val="99"/>
    <w:rsid w:val="00853B54"/>
    <w:rPr>
      <w:vertAlign w:val="superscript"/>
    </w:rPr>
  </w:style>
  <w:style w:type="character" w:customStyle="1" w:styleId="Antrat1Diagrama">
    <w:name w:val="Antraštė 1 Diagrama"/>
    <w:basedOn w:val="Numatytasispastraiposriftas"/>
    <w:link w:val="Antrat1"/>
    <w:rsid w:val="000A3472"/>
    <w:rPr>
      <w:b/>
      <w:caps/>
      <w:color w:val="000000"/>
      <w:sz w:val="24"/>
      <w:szCs w:val="24"/>
      <w:lang w:eastAsia="en-US"/>
    </w:rPr>
  </w:style>
  <w:style w:type="paragraph" w:styleId="Pavadinimas">
    <w:name w:val="Title"/>
    <w:basedOn w:val="prastasis"/>
    <w:link w:val="PavadinimasDiagrama"/>
    <w:qFormat/>
    <w:rsid w:val="000A3472"/>
    <w:pPr>
      <w:spacing w:before="160"/>
      <w:jc w:val="center"/>
    </w:pPr>
    <w:rPr>
      <w:b/>
      <w:caps/>
      <w:color w:val="000000"/>
      <w:lang w:eastAsia="en-US"/>
    </w:rPr>
  </w:style>
  <w:style w:type="character" w:customStyle="1" w:styleId="PavadinimasDiagrama">
    <w:name w:val="Pavadinimas Diagrama"/>
    <w:basedOn w:val="Numatytasispastraiposriftas"/>
    <w:link w:val="Pavadinimas"/>
    <w:rsid w:val="000A3472"/>
    <w:rPr>
      <w:b/>
      <w:cap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7020">
      <w:bodyDiv w:val="1"/>
      <w:marLeft w:val="0"/>
      <w:marRight w:val="0"/>
      <w:marTop w:val="0"/>
      <w:marBottom w:val="0"/>
      <w:divBdr>
        <w:top w:val="none" w:sz="0" w:space="0" w:color="auto"/>
        <w:left w:val="none" w:sz="0" w:space="0" w:color="auto"/>
        <w:bottom w:val="none" w:sz="0" w:space="0" w:color="auto"/>
        <w:right w:val="none" w:sz="0" w:space="0" w:color="auto"/>
      </w:divBdr>
    </w:div>
    <w:div w:id="330062687">
      <w:bodyDiv w:val="1"/>
      <w:marLeft w:val="0"/>
      <w:marRight w:val="0"/>
      <w:marTop w:val="0"/>
      <w:marBottom w:val="0"/>
      <w:divBdr>
        <w:top w:val="none" w:sz="0" w:space="0" w:color="auto"/>
        <w:left w:val="none" w:sz="0" w:space="0" w:color="auto"/>
        <w:bottom w:val="none" w:sz="0" w:space="0" w:color="auto"/>
        <w:right w:val="none" w:sz="0" w:space="0" w:color="auto"/>
      </w:divBdr>
    </w:div>
    <w:div w:id="724061543">
      <w:bodyDiv w:val="1"/>
      <w:marLeft w:val="0"/>
      <w:marRight w:val="0"/>
      <w:marTop w:val="0"/>
      <w:marBottom w:val="0"/>
      <w:divBdr>
        <w:top w:val="none" w:sz="0" w:space="0" w:color="auto"/>
        <w:left w:val="none" w:sz="0" w:space="0" w:color="auto"/>
        <w:bottom w:val="none" w:sz="0" w:space="0" w:color="auto"/>
        <w:right w:val="none" w:sz="0" w:space="0" w:color="auto"/>
      </w:divBdr>
    </w:div>
    <w:div w:id="913861367">
      <w:bodyDiv w:val="1"/>
      <w:marLeft w:val="0"/>
      <w:marRight w:val="0"/>
      <w:marTop w:val="0"/>
      <w:marBottom w:val="0"/>
      <w:divBdr>
        <w:top w:val="none" w:sz="0" w:space="0" w:color="auto"/>
        <w:left w:val="none" w:sz="0" w:space="0" w:color="auto"/>
        <w:bottom w:val="none" w:sz="0" w:space="0" w:color="auto"/>
        <w:right w:val="none" w:sz="0" w:space="0" w:color="auto"/>
      </w:divBdr>
    </w:div>
    <w:div w:id="2066947640">
      <w:bodyDiv w:val="1"/>
      <w:marLeft w:val="0"/>
      <w:marRight w:val="0"/>
      <w:marTop w:val="0"/>
      <w:marBottom w:val="0"/>
      <w:divBdr>
        <w:top w:val="none" w:sz="0" w:space="0" w:color="auto"/>
        <w:left w:val="none" w:sz="0" w:space="0" w:color="auto"/>
        <w:bottom w:val="none" w:sz="0" w:space="0" w:color="auto"/>
        <w:right w:val="none" w:sz="0" w:space="0" w:color="auto"/>
      </w:divBdr>
    </w:div>
    <w:div w:id="20977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2BCB56-1574-46EC-8C13-883CA822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945</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MB „Įmonės pabaiga“,</vt:lpstr>
      <vt:lpstr>MB „Įmonės pabaiga“,</vt:lpstr>
    </vt:vector>
  </TitlesOfParts>
  <Company/>
  <LinksUpToDate>false</LinksUpToDate>
  <CharactersWithSpaces>2596</CharactersWithSpaces>
  <SharedDoc>false</SharedDoc>
  <HLinks>
    <vt:vector size="6" baseType="variant">
      <vt:variant>
        <vt:i4>6225962</vt:i4>
      </vt:variant>
      <vt:variant>
        <vt:i4>0</vt:i4>
      </vt:variant>
      <vt:variant>
        <vt:i4>0</vt:i4>
      </vt:variant>
      <vt:variant>
        <vt:i4>5</vt:i4>
      </vt:variant>
      <vt:variant>
        <vt:lpwstr>mailto:mantas.arasimavicius@agp.lt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„Įmonės pabaiga“,</dc:title>
  <dc:creator>Mantas Arasimavicius</dc:creator>
  <cp:lastModifiedBy>Vita Kavolynaitė</cp:lastModifiedBy>
  <cp:revision>2</cp:revision>
  <dcterms:created xsi:type="dcterms:W3CDTF">2023-01-09T12:43:00Z</dcterms:created>
  <dcterms:modified xsi:type="dcterms:W3CDTF">2023-01-09T12:43:00Z</dcterms:modified>
</cp:coreProperties>
</file>